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52A8" w14:textId="20BBC18F" w:rsidR="00AD6070" w:rsidRDefault="00040FDC">
      <w:pPr>
        <w:jc w:val="both"/>
        <w:rPr>
          <w:b/>
          <w:color w:val="E36C09"/>
        </w:rPr>
      </w:pPr>
      <w:r>
        <w:rPr>
          <w:b/>
          <w:color w:val="E36C09"/>
        </w:rPr>
        <w:t xml:space="preserve">Date </w:t>
      </w:r>
      <w:r w:rsidR="005F2F20">
        <w:rPr>
          <w:b/>
          <w:color w:val="E36C09"/>
        </w:rPr>
        <w:t>15</w:t>
      </w:r>
      <w:r>
        <w:rPr>
          <w:b/>
          <w:color w:val="E36C09"/>
        </w:rPr>
        <w:t>.03.202</w:t>
      </w:r>
      <w:r w:rsidR="005F2F20">
        <w:rPr>
          <w:b/>
          <w:color w:val="E36C09"/>
        </w:rPr>
        <w:t>5</w:t>
      </w:r>
    </w:p>
    <w:p w14:paraId="6D5652A9" w14:textId="77777777" w:rsidR="00AD6070" w:rsidRDefault="00AD6070">
      <w:pPr>
        <w:jc w:val="both"/>
      </w:pPr>
    </w:p>
    <w:p w14:paraId="6D5652AA" w14:textId="77777777" w:rsidR="00AD6070" w:rsidRDefault="00040FDC">
      <w:pPr>
        <w:jc w:val="both"/>
      </w:pPr>
      <w:r>
        <w:t xml:space="preserve">                                 </w:t>
      </w:r>
    </w:p>
    <w:p w14:paraId="6D5652AB" w14:textId="5AFCA2FB" w:rsidR="00AD6070" w:rsidRDefault="00040FDC">
      <w:pPr>
        <w:jc w:val="center"/>
        <w:rPr>
          <w:b/>
          <w:sz w:val="50"/>
          <w:szCs w:val="50"/>
        </w:rPr>
      </w:pPr>
      <w:r>
        <w:rPr>
          <w:b/>
          <w:color w:val="E36C09"/>
          <w:sz w:val="50"/>
          <w:szCs w:val="50"/>
        </w:rPr>
        <w:t>Annual plan 202</w:t>
      </w:r>
      <w:r w:rsidR="005F2F20">
        <w:rPr>
          <w:b/>
          <w:color w:val="E36C09"/>
          <w:sz w:val="50"/>
          <w:szCs w:val="50"/>
        </w:rPr>
        <w:t>5</w:t>
      </w:r>
    </w:p>
    <w:p w14:paraId="036F88F3" w14:textId="77777777" w:rsidR="00D26947" w:rsidRPr="00D26947" w:rsidRDefault="00D26947" w:rsidP="00D26947">
      <w:pPr>
        <w:jc w:val="both"/>
        <w:rPr>
          <w:lang w:val="en-GB"/>
        </w:rPr>
      </w:pPr>
      <w:r w:rsidRPr="00D26947">
        <w:rPr>
          <w:lang w:val="en-GB"/>
        </w:rPr>
        <w:t>Central Asia Solidarity Groups (CAG) is a non-profit organization based in Malmö, Sweden, dedicated to promoting a democratic Central Asia where human rights are protected, and social justice is achieved. CAG focuses on Climate and Environment, Gender Equality and Women’s Rights, Democratic Youth Organizing, and Security and Resilience, with projects spanning across Central Asia, Sweden, and Russia.</w:t>
      </w:r>
    </w:p>
    <w:p w14:paraId="68E58DB1" w14:textId="689E47E0" w:rsidR="00D26947" w:rsidRPr="00D26947" w:rsidRDefault="00D26947" w:rsidP="00D26947">
      <w:pPr>
        <w:jc w:val="both"/>
        <w:rPr>
          <w:lang w:val="en-GB"/>
        </w:rPr>
      </w:pPr>
      <w:r w:rsidRPr="00D26947">
        <w:rPr>
          <w:lang w:val="en-GB"/>
        </w:rPr>
        <w:t xml:space="preserve">Organizational plans for 2025 include the continuation of the Large Partnership Programme interventions started in previous years and the launch of </w:t>
      </w:r>
      <w:r w:rsidR="00703E3B">
        <w:rPr>
          <w:lang w:val="en-GB"/>
        </w:rPr>
        <w:t xml:space="preserve">new </w:t>
      </w:r>
      <w:r w:rsidRPr="00D26947">
        <w:rPr>
          <w:lang w:val="en-GB"/>
        </w:rPr>
        <w:t>projects. This entails cooperation with partners across Central Asia, the diversification of funding sources, and the piloting of broader collaborations through networks such as the Swedish International Agricultural Network Initiative (SIANI).</w:t>
      </w:r>
    </w:p>
    <w:p w14:paraId="6D5652AE" w14:textId="77777777" w:rsidR="00AD6070" w:rsidRDefault="00040FDC">
      <w:pPr>
        <w:jc w:val="both"/>
        <w:rPr>
          <w:b/>
          <w:color w:val="E36C09"/>
          <w:highlight w:val="white"/>
        </w:rPr>
      </w:pPr>
      <w:proofErr w:type="gramStart"/>
      <w:r>
        <w:rPr>
          <w:b/>
          <w:color w:val="E36C09"/>
          <w:highlight w:val="white"/>
        </w:rPr>
        <w:t>INTERVENTIONS</w:t>
      </w:r>
      <w:proofErr w:type="gramEnd"/>
      <w:r>
        <w:rPr>
          <w:b/>
          <w:color w:val="E36C09"/>
          <w:highlight w:val="white"/>
        </w:rPr>
        <w:t xml:space="preserve"> IN CENTRAL ASIA</w:t>
      </w:r>
    </w:p>
    <w:p w14:paraId="6D5652B1" w14:textId="2F38CFAA" w:rsidR="00AD6070" w:rsidRDefault="00846045">
      <w:pPr>
        <w:jc w:val="both"/>
        <w:rPr>
          <w:b/>
          <w:color w:val="E36C09"/>
        </w:rPr>
      </w:pPr>
      <w:r>
        <w:rPr>
          <w:b/>
          <w:color w:val="E36C09"/>
        </w:rPr>
        <w:t>1</w:t>
      </w:r>
      <w:r w:rsidR="00040FDC">
        <w:rPr>
          <w:b/>
          <w:color w:val="E36C09"/>
        </w:rPr>
        <w:t>. ISDS - Environmental Sustainability at Son Kul Lake, Kyrgyzstan</w:t>
      </w:r>
    </w:p>
    <w:p w14:paraId="44EA98DD" w14:textId="33D155C5" w:rsidR="000F0976" w:rsidRDefault="00830C10">
      <w:pPr>
        <w:jc w:val="both"/>
      </w:pPr>
      <w:r w:rsidRPr="00830C10">
        <w:t xml:space="preserve">ISDS, in partnership with CAG, continues to strengthen the capacity of local communities around Son Kul Lake to protect wetlands and grasslands while promoting ecological sustainability and resilience. Planned activities include supporting community-based governance structures, further developing alternative sources of income for women and </w:t>
      </w:r>
      <w:r w:rsidR="00833211" w:rsidRPr="00830C10">
        <w:t>youth and</w:t>
      </w:r>
      <w:r w:rsidRPr="00830C10">
        <w:t xml:space="preserve"> conducting awareness campaigns to highlight the importance of preserving the lake’s delicate ecosystem. The intervention aims to reduce pressure on natural resources, address climate challenges, and amplify the role of marginalized groups in local decision-making processes.</w:t>
      </w:r>
    </w:p>
    <w:p w14:paraId="3D013567" w14:textId="25763874" w:rsidR="00DE67CA" w:rsidRDefault="000F0976">
      <w:pPr>
        <w:jc w:val="both"/>
        <w:rPr>
          <w:b/>
          <w:color w:val="E36C09"/>
        </w:rPr>
      </w:pPr>
      <w:r>
        <w:rPr>
          <w:b/>
          <w:color w:val="E36C09"/>
        </w:rPr>
        <w:t>2</w:t>
      </w:r>
      <w:r w:rsidR="00040FDC">
        <w:rPr>
          <w:b/>
          <w:color w:val="E36C09"/>
        </w:rPr>
        <w:t>.</w:t>
      </w:r>
      <w:r w:rsidR="00DE67CA" w:rsidRPr="00DE67CA">
        <w:rPr>
          <w:b/>
          <w:color w:val="E36C09"/>
        </w:rPr>
        <w:t xml:space="preserve"> SIANI – Soil Health and Food Security Initiatives in Kyrgyzstan. </w:t>
      </w:r>
    </w:p>
    <w:p w14:paraId="6D5652B3" w14:textId="4EF8B007" w:rsidR="00AD6070" w:rsidRDefault="00481E7F">
      <w:pPr>
        <w:jc w:val="both"/>
        <w:rPr>
          <w:b/>
          <w:color w:val="E36C09"/>
        </w:rPr>
      </w:pPr>
      <w:r>
        <w:rPr>
          <w:bCs/>
        </w:rPr>
        <w:t>I</w:t>
      </w:r>
      <w:r w:rsidR="00DE67CA" w:rsidRPr="00DE67CA">
        <w:rPr>
          <w:bCs/>
        </w:rPr>
        <w:t>n close coordination with CAG</w:t>
      </w:r>
      <w:r>
        <w:rPr>
          <w:bCs/>
        </w:rPr>
        <w:t>, El-Too</w:t>
      </w:r>
      <w:r w:rsidR="00DE67CA" w:rsidRPr="00DE67CA">
        <w:rPr>
          <w:bCs/>
        </w:rPr>
        <w:t xml:space="preserve"> and the SIANI network, </w:t>
      </w:r>
      <w:r w:rsidR="003E46F3">
        <w:rPr>
          <w:bCs/>
        </w:rPr>
        <w:t xml:space="preserve">we plan to </w:t>
      </w:r>
      <w:r w:rsidR="00DE67CA" w:rsidRPr="00DE67CA">
        <w:rPr>
          <w:bCs/>
        </w:rPr>
        <w:t xml:space="preserve">support permaculture and holistic land management </w:t>
      </w:r>
      <w:r w:rsidR="003E46F3">
        <w:rPr>
          <w:bCs/>
        </w:rPr>
        <w:t xml:space="preserve">initiatives </w:t>
      </w:r>
      <w:r w:rsidR="00DE67CA" w:rsidRPr="00DE67CA">
        <w:rPr>
          <w:bCs/>
        </w:rPr>
        <w:t>in rural Kyrgyzstan. Interventions center on strengthening soil health through cost-effective soil-building techniques, regenerative agricultural approaches, and the integration of traditional ecological knowledge. The initiative provides hands-on training and participatory research opportunities for local farmers and community members, placing particular emphasis on women and younger populations. By linking grassroots practitioners with Swedish and European stakeholders, the project promotes policy dialogue around sustainable resource management and fosters new partnerships to address land degradation and food insecurity.</w:t>
      </w:r>
    </w:p>
    <w:p w14:paraId="6D5652B5" w14:textId="60CDD7E5" w:rsidR="00AD6070" w:rsidRDefault="00FF4844">
      <w:pPr>
        <w:jc w:val="both"/>
        <w:rPr>
          <w:b/>
          <w:color w:val="E36C09"/>
        </w:rPr>
      </w:pPr>
      <w:r>
        <w:rPr>
          <w:b/>
          <w:color w:val="E36C09"/>
        </w:rPr>
        <w:t>3</w:t>
      </w:r>
      <w:r w:rsidR="00040FDC">
        <w:rPr>
          <w:b/>
          <w:color w:val="E36C09"/>
        </w:rPr>
        <w:t>. Little Earth - Sustainable Resource Use in Tajikistan</w:t>
      </w:r>
    </w:p>
    <w:p w14:paraId="6983F995" w14:textId="77777777" w:rsidR="000B49B0" w:rsidRDefault="000B49B0">
      <w:pPr>
        <w:jc w:val="both"/>
      </w:pPr>
      <w:r w:rsidRPr="000B49B0">
        <w:lastRenderedPageBreak/>
        <w:t xml:space="preserve">Little Earth, in cooperation with CAG, continues to expand sustainable resource interventions in the mountainous communities of </w:t>
      </w:r>
      <w:proofErr w:type="spellStart"/>
      <w:r w:rsidRPr="000B49B0">
        <w:t>Yaghnob</w:t>
      </w:r>
      <w:proofErr w:type="spellEnd"/>
      <w:r w:rsidRPr="000B49B0">
        <w:t>, Tajikistan. The 2025 plans focus on equipping a newly established sewing workshop and communal shower with solar technology, reducing reliance on unsustainable fuel sources. Training sessions on sewing, energy efficiency, and gender equality will help bolster women’s economic and civic participation. The project also promotes sustainable environmental practices such as energy-efficient stove use, greenhouse-based cultivation, and inclusive community mobilization, ensuring that local women and youth play leading roles in decision-making processes that affect their environment and livelihoods.</w:t>
      </w:r>
    </w:p>
    <w:p w14:paraId="2EEA130A" w14:textId="58190B9C" w:rsidR="00464AF4" w:rsidRPr="00420C13" w:rsidRDefault="00464AF4">
      <w:pPr>
        <w:jc w:val="both"/>
        <w:rPr>
          <w:color w:val="E36C0A" w:themeColor="accent6" w:themeShade="BF"/>
        </w:rPr>
      </w:pPr>
      <w:r w:rsidRPr="00420C13">
        <w:rPr>
          <w:b/>
          <w:bCs/>
          <w:color w:val="E36C0A" w:themeColor="accent6" w:themeShade="BF"/>
          <w:lang w:val="en-GB"/>
        </w:rPr>
        <w:t xml:space="preserve">4. </w:t>
      </w:r>
      <w:r w:rsidRPr="00420C13">
        <w:rPr>
          <w:b/>
          <w:bCs/>
          <w:color w:val="E36C0A" w:themeColor="accent6" w:themeShade="BF"/>
          <w:lang w:val="en-GB"/>
        </w:rPr>
        <w:t>El-Too - Permaculture Initiatives in North Kyrgyzstan</w:t>
      </w:r>
    </w:p>
    <w:p w14:paraId="508FAE04" w14:textId="114979A4" w:rsidR="00C70903" w:rsidRDefault="00C70903">
      <w:pPr>
        <w:jc w:val="both"/>
      </w:pPr>
      <w:r w:rsidRPr="00C70903">
        <w:t>El-Too</w:t>
      </w:r>
      <w:r w:rsidR="007A7888">
        <w:t xml:space="preserve"> will center their </w:t>
      </w:r>
      <w:r w:rsidRPr="00C70903">
        <w:t>efforts around women’s economic rights by incorporating eco/agritourism initiatives under a “Green Region” concept, enabling rural communities to generate additional income through guesthouse services, permaculture-based tours, and local entrepreneurial activities. The organization’s internal capacity will be strengthened through updated documentation, legal training, and financial management courses, ensuring compliance with changing legislation and fostering resilience amid restrictive conditions for NGOs. At the community level, El-Too will support practical experiments in mulching and rainwater collection, develop short video documentaries on sustainable practices, and collaborate with folk artists to share information about soil health, climate adaptation, and land rights. These expansions build upon existing permaculture work, broaden the scope of community-led environmental solutions, and promote long-term sustainability by tying ecological conservation to tangible livelihood improvements.</w:t>
      </w:r>
    </w:p>
    <w:p w14:paraId="6D5652B7" w14:textId="1B0D5509" w:rsidR="00AD6070" w:rsidRDefault="00040FDC">
      <w:pPr>
        <w:jc w:val="both"/>
        <w:rPr>
          <w:b/>
          <w:color w:val="E36C09"/>
        </w:rPr>
      </w:pPr>
      <w:r>
        <w:rPr>
          <w:b/>
          <w:color w:val="E36C09"/>
        </w:rPr>
        <w:t>FUNDRAISING:</w:t>
      </w:r>
    </w:p>
    <w:p w14:paraId="6D706207" w14:textId="057836B5" w:rsidR="00B12BAA" w:rsidRPr="00B12BAA" w:rsidRDefault="00B12BAA">
      <w:pPr>
        <w:jc w:val="both"/>
        <w:rPr>
          <w:bCs/>
        </w:rPr>
      </w:pPr>
      <w:r w:rsidRPr="00B12BAA">
        <w:rPr>
          <w:bCs/>
        </w:rPr>
        <w:t xml:space="preserve">CAG anticipates adjusting its funding approach in 2025 by targeting both established and emerging donor opportunities. Efforts will center on securing resources that align with our key thematic areas—environmental sustainability, women’s rights, youth organizing, and security and resilience—while exploring multilateral partnerships. </w:t>
      </w:r>
    </w:p>
    <w:p w14:paraId="6D5652B9" w14:textId="77777777" w:rsidR="00AD6070" w:rsidRDefault="00040FDC">
      <w:pPr>
        <w:jc w:val="both"/>
        <w:rPr>
          <w:b/>
          <w:color w:val="E36C09"/>
        </w:rPr>
      </w:pPr>
      <w:r>
        <w:rPr>
          <w:b/>
          <w:color w:val="E36C09"/>
        </w:rPr>
        <w:t>BOAR AND OFFICE WORK</w:t>
      </w:r>
    </w:p>
    <w:p w14:paraId="6D5652BC" w14:textId="6AA3EE51" w:rsidR="00AD6070" w:rsidRDefault="002E7A85">
      <w:pPr>
        <w:jc w:val="both"/>
      </w:pPr>
      <w:r w:rsidRPr="002E7A85">
        <w:t>In 2025, CAG’s Board and Office will continue refining the organizational structure and supporting ongoing projects through improved internal systems and cohesive communication strategies.</w:t>
      </w:r>
      <w:r w:rsidR="00C64CA5">
        <w:t xml:space="preserve"> </w:t>
      </w:r>
      <w:r w:rsidRPr="002E7A85">
        <w:t xml:space="preserve">This includes operationalizing the Theory of Change, integrating new board members, and streamlining volunteer engagement for both short- and long-term participation in CAG’s core activities. The organization will also reinforce its efforts to apply for, and manage, larger grants to maintain program continuity. Enhanced communication will focus on increasing online visibility and showcasing local partner initiatives. Lastly, CAG aims to diversify and strengthen collaboration with Central Asian partners through knowledge exchange, advocacy, and collective actions that further the core values </w:t>
      </w:r>
      <w:r w:rsidR="00040FDC">
        <w:t xml:space="preserve">of CAG and our partners. </w:t>
      </w:r>
      <w:r w:rsidR="00040FDC">
        <w:br/>
      </w:r>
      <w:r w:rsidR="00040FDC">
        <w:br/>
      </w:r>
    </w:p>
    <w:sectPr w:rsidR="00AD6070">
      <w:headerReference w:type="default" r:id="rId6"/>
      <w:pgSz w:w="11906" w:h="16838"/>
      <w:pgMar w:top="566" w:right="2806" w:bottom="1133"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389A" w14:textId="77777777" w:rsidR="00E84F70" w:rsidRDefault="00E84F70">
      <w:pPr>
        <w:spacing w:after="0"/>
      </w:pPr>
      <w:r>
        <w:separator/>
      </w:r>
    </w:p>
  </w:endnote>
  <w:endnote w:type="continuationSeparator" w:id="0">
    <w:p w14:paraId="1193739D" w14:textId="77777777" w:rsidR="00E84F70" w:rsidRDefault="00E84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rta">
    <w:altName w:val="Calibri"/>
    <w:charset w:val="00"/>
    <w:family w:val="auto"/>
    <w:pitch w:val="default"/>
  </w:font>
  <w:font w:name="Averta Semibol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00ED7" w14:textId="77777777" w:rsidR="00E84F70" w:rsidRDefault="00E84F70">
      <w:pPr>
        <w:spacing w:after="0"/>
      </w:pPr>
      <w:r>
        <w:separator/>
      </w:r>
    </w:p>
  </w:footnote>
  <w:footnote w:type="continuationSeparator" w:id="0">
    <w:p w14:paraId="3CD1FD39" w14:textId="77777777" w:rsidR="00E84F70" w:rsidRDefault="00E84F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52BD" w14:textId="77777777" w:rsidR="00AD6070" w:rsidRDefault="00040FDC">
    <w:pPr>
      <w:pBdr>
        <w:top w:val="nil"/>
        <w:left w:val="nil"/>
        <w:bottom w:val="nil"/>
        <w:right w:val="nil"/>
        <w:between w:val="nil"/>
      </w:pBdr>
      <w:tabs>
        <w:tab w:val="center" w:pos="4536"/>
        <w:tab w:val="right" w:pos="9072"/>
      </w:tabs>
      <w:spacing w:after="0"/>
      <w:rPr>
        <w:color w:val="D2742B"/>
        <w:sz w:val="16"/>
        <w:szCs w:val="16"/>
      </w:rPr>
    </w:pPr>
    <w:r>
      <w:rPr>
        <w:noProof/>
      </w:rPr>
      <w:drawing>
        <wp:anchor distT="0" distB="0" distL="0" distR="0" simplePos="0" relativeHeight="251658240" behindDoc="0" locked="0" layoutInCell="1" hidden="0" allowOverlap="1" wp14:anchorId="6D5652BE" wp14:editId="6D5652BF">
          <wp:simplePos x="0" y="0"/>
          <wp:positionH relativeFrom="column">
            <wp:posOffset>5238564</wp:posOffset>
          </wp:positionH>
          <wp:positionV relativeFrom="paragraph">
            <wp:posOffset>20754</wp:posOffset>
          </wp:positionV>
          <wp:extent cx="818882" cy="882756"/>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8882" cy="882756"/>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D5652C0" wp14:editId="6D5652C1">
              <wp:simplePos x="0" y="0"/>
              <wp:positionH relativeFrom="column">
                <wp:posOffset>101601</wp:posOffset>
              </wp:positionH>
              <wp:positionV relativeFrom="paragraph">
                <wp:posOffset>-114299</wp:posOffset>
              </wp:positionV>
              <wp:extent cx="4904740" cy="57150"/>
              <wp:effectExtent l="0" t="0" r="0" b="0"/>
              <wp:wrapSquare wrapText="bothSides" distT="0" distB="0" distL="114300" distR="114300"/>
              <wp:docPr id="2" name="Straight Arrow Connector 2"/>
              <wp:cNvGraphicFramePr/>
              <a:graphic xmlns:a="http://schemas.openxmlformats.org/drawingml/2006/main">
                <a:graphicData uri="http://schemas.microsoft.com/office/word/2010/wordprocessingShape">
                  <wps:wsp>
                    <wps:cNvCnPr/>
                    <wps:spPr>
                      <a:xfrm>
                        <a:off x="2907918" y="3780000"/>
                        <a:ext cx="4876165" cy="0"/>
                      </a:xfrm>
                      <a:prstGeom prst="straightConnector1">
                        <a:avLst/>
                      </a:prstGeom>
                      <a:noFill/>
                      <a:ln w="28575" cap="rnd" cmpd="sng">
                        <a:solidFill>
                          <a:srgbClr val="B4B5B4"/>
                        </a:solidFill>
                        <a:prstDash val="dot"/>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-114299</wp:posOffset>
              </wp:positionV>
              <wp:extent cx="4904740" cy="571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904740" cy="571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6D5652C2" wp14:editId="6D5652C3">
              <wp:simplePos x="0" y="0"/>
              <wp:positionH relativeFrom="column">
                <wp:posOffset>5181600</wp:posOffset>
              </wp:positionH>
              <wp:positionV relativeFrom="paragraph">
                <wp:posOffset>-114299</wp:posOffset>
              </wp:positionV>
              <wp:extent cx="1169670" cy="57150"/>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4775453" y="3780000"/>
                        <a:ext cx="1141095" cy="0"/>
                      </a:xfrm>
                      <a:prstGeom prst="straightConnector1">
                        <a:avLst/>
                      </a:prstGeom>
                      <a:noFill/>
                      <a:ln w="28575" cap="rnd" cmpd="sng">
                        <a:solidFill>
                          <a:srgbClr val="B4B5B4"/>
                        </a:solidFill>
                        <a:prstDash val="dot"/>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5181600</wp:posOffset>
              </wp:positionH>
              <wp:positionV relativeFrom="paragraph">
                <wp:posOffset>-114299</wp:posOffset>
              </wp:positionV>
              <wp:extent cx="1169670" cy="571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69670" cy="571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D5652C4" wp14:editId="6D5652C5">
              <wp:simplePos x="0" y="0"/>
              <wp:positionH relativeFrom="column">
                <wp:posOffset>5181600</wp:posOffset>
              </wp:positionH>
              <wp:positionV relativeFrom="paragraph">
                <wp:posOffset>9817100</wp:posOffset>
              </wp:positionV>
              <wp:extent cx="1096645" cy="57150"/>
              <wp:effectExtent l="0" t="0" r="0" b="0"/>
              <wp:wrapSquare wrapText="bothSides" distT="0" distB="0" distL="114300" distR="114300"/>
              <wp:docPr id="3" name="Straight Arrow Connector 3"/>
              <wp:cNvGraphicFramePr/>
              <a:graphic xmlns:a="http://schemas.openxmlformats.org/drawingml/2006/main">
                <a:graphicData uri="http://schemas.microsoft.com/office/word/2010/wordprocessingShape">
                  <wps:wsp>
                    <wps:cNvCnPr/>
                    <wps:spPr>
                      <a:xfrm>
                        <a:off x="4811965" y="3780000"/>
                        <a:ext cx="1068070" cy="0"/>
                      </a:xfrm>
                      <a:prstGeom prst="straightConnector1">
                        <a:avLst/>
                      </a:prstGeom>
                      <a:noFill/>
                      <a:ln w="28575" cap="rnd" cmpd="sng">
                        <a:solidFill>
                          <a:srgbClr val="B4B5B4"/>
                        </a:solidFill>
                        <a:prstDash val="dot"/>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5181600</wp:posOffset>
              </wp:positionH>
              <wp:positionV relativeFrom="paragraph">
                <wp:posOffset>9817100</wp:posOffset>
              </wp:positionV>
              <wp:extent cx="1096645" cy="5715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96645" cy="571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70"/>
    <w:rsid w:val="00040FDC"/>
    <w:rsid w:val="000B49B0"/>
    <w:rsid w:val="000F0976"/>
    <w:rsid w:val="00125D88"/>
    <w:rsid w:val="002E7A85"/>
    <w:rsid w:val="003E46F3"/>
    <w:rsid w:val="00420C13"/>
    <w:rsid w:val="00464AF4"/>
    <w:rsid w:val="00481E7F"/>
    <w:rsid w:val="005F2F20"/>
    <w:rsid w:val="00636958"/>
    <w:rsid w:val="00690136"/>
    <w:rsid w:val="00703E3B"/>
    <w:rsid w:val="007A7888"/>
    <w:rsid w:val="007C1321"/>
    <w:rsid w:val="00830C10"/>
    <w:rsid w:val="00833211"/>
    <w:rsid w:val="00846045"/>
    <w:rsid w:val="00927D72"/>
    <w:rsid w:val="00964C2E"/>
    <w:rsid w:val="00AD6070"/>
    <w:rsid w:val="00B12BAA"/>
    <w:rsid w:val="00B25BC4"/>
    <w:rsid w:val="00C64CA5"/>
    <w:rsid w:val="00C70903"/>
    <w:rsid w:val="00D26947"/>
    <w:rsid w:val="00D52851"/>
    <w:rsid w:val="00DE67CA"/>
    <w:rsid w:val="00E84F70"/>
    <w:rsid w:val="00FF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52A8"/>
  <w15:docId w15:val="{492BC51B-BBD6-4EF9-9702-E6BC3042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rta" w:eastAsia="Averta" w:hAnsi="Averta" w:cs="Avert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80"/>
      <w:outlineLvl w:val="0"/>
    </w:pPr>
    <w:rPr>
      <w:b/>
      <w:i/>
      <w:color w:val="CD6539"/>
      <w:sz w:val="32"/>
      <w:szCs w:val="32"/>
    </w:rPr>
  </w:style>
  <w:style w:type="paragraph" w:styleId="Heading2">
    <w:name w:val="heading 2"/>
    <w:basedOn w:val="Normal"/>
    <w:next w:val="Normal"/>
    <w:uiPriority w:val="9"/>
    <w:semiHidden/>
    <w:unhideWhenUsed/>
    <w:qFormat/>
    <w:pPr>
      <w:spacing w:before="280" w:after="80"/>
      <w:outlineLvl w:val="1"/>
    </w:pPr>
    <w:rPr>
      <w:b/>
      <w:i/>
      <w:color w:val="695274"/>
      <w:sz w:val="28"/>
      <w:szCs w:val="28"/>
    </w:rPr>
  </w:style>
  <w:style w:type="paragraph" w:styleId="Heading3">
    <w:name w:val="heading 3"/>
    <w:basedOn w:val="Normal"/>
    <w:next w:val="Normal"/>
    <w:uiPriority w:val="9"/>
    <w:semiHidden/>
    <w:unhideWhenUsed/>
    <w:qFormat/>
    <w:pPr>
      <w:keepNext/>
      <w:keepLines/>
      <w:spacing w:before="40" w:after="0"/>
      <w:outlineLvl w:val="2"/>
    </w:pPr>
    <w:rPr>
      <w:rFonts w:ascii="Averta Semibold" w:eastAsia="Averta Semibold" w:hAnsi="Averta Semibold" w:cs="Averta Semibold"/>
      <w:color w:val="E2A371"/>
      <w:sz w:val="20"/>
      <w:szCs w:val="20"/>
    </w:rPr>
  </w:style>
  <w:style w:type="paragraph" w:styleId="Heading4">
    <w:name w:val="heading 4"/>
    <w:basedOn w:val="Normal"/>
    <w:next w:val="Normal"/>
    <w:uiPriority w:val="9"/>
    <w:semiHidden/>
    <w:unhideWhenUsed/>
    <w:qFormat/>
    <w:pPr>
      <w:keepNext/>
      <w:keepLines/>
      <w:spacing w:before="280" w:after="80"/>
      <w:outlineLvl w:val="3"/>
    </w:pPr>
    <w:rPr>
      <w:rFonts w:ascii="Averta Semibold" w:eastAsia="Averta Semibold" w:hAnsi="Averta Semibold" w:cs="Averta Semibold"/>
      <w:b/>
      <w:i/>
      <w:color w:val="B05A5D"/>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400" w:after="120"/>
    </w:pPr>
    <w:rPr>
      <w:rFonts w:ascii="Averta Semibold" w:eastAsia="Averta Semibold" w:hAnsi="Averta Semibold" w:cs="Averta Semibold"/>
      <w:b/>
      <w:i/>
      <w:color w:val="CE6639"/>
      <w:sz w:val="72"/>
      <w:szCs w:val="72"/>
    </w:rPr>
  </w:style>
  <w:style w:type="paragraph" w:styleId="Subtitle">
    <w:name w:val="Subtitle"/>
    <w:basedOn w:val="Normal"/>
    <w:next w:val="Normal"/>
    <w:uiPriority w:val="11"/>
    <w:qFormat/>
    <w:rPr>
      <w:i/>
      <w:color w:val="E3A37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4157">
      <w:bodyDiv w:val="1"/>
      <w:marLeft w:val="0"/>
      <w:marRight w:val="0"/>
      <w:marTop w:val="0"/>
      <w:marBottom w:val="0"/>
      <w:divBdr>
        <w:top w:val="none" w:sz="0" w:space="0" w:color="auto"/>
        <w:left w:val="none" w:sz="0" w:space="0" w:color="auto"/>
        <w:bottom w:val="none" w:sz="0" w:space="0" w:color="auto"/>
        <w:right w:val="none" w:sz="0" w:space="0" w:color="auto"/>
      </w:divBdr>
    </w:div>
    <w:div w:id="1428386622">
      <w:bodyDiv w:val="1"/>
      <w:marLeft w:val="0"/>
      <w:marRight w:val="0"/>
      <w:marTop w:val="0"/>
      <w:marBottom w:val="0"/>
      <w:divBdr>
        <w:top w:val="none" w:sz="0" w:space="0" w:color="auto"/>
        <w:left w:val="none" w:sz="0" w:space="0" w:color="auto"/>
        <w:bottom w:val="none" w:sz="0" w:space="0" w:color="auto"/>
        <w:right w:val="none" w:sz="0" w:space="0" w:color="auto"/>
      </w:divBdr>
    </w:div>
    <w:div w:id="1436171077">
      <w:bodyDiv w:val="1"/>
      <w:marLeft w:val="0"/>
      <w:marRight w:val="0"/>
      <w:marTop w:val="0"/>
      <w:marBottom w:val="0"/>
      <w:divBdr>
        <w:top w:val="none" w:sz="0" w:space="0" w:color="auto"/>
        <w:left w:val="none" w:sz="0" w:space="0" w:color="auto"/>
        <w:bottom w:val="none" w:sz="0" w:space="0" w:color="auto"/>
        <w:right w:val="none" w:sz="0" w:space="0" w:color="auto"/>
      </w:divBdr>
    </w:div>
    <w:div w:id="149757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 Romanov</cp:lastModifiedBy>
  <cp:revision>28</cp:revision>
  <dcterms:created xsi:type="dcterms:W3CDTF">2025-03-21T10:39:00Z</dcterms:created>
  <dcterms:modified xsi:type="dcterms:W3CDTF">2025-03-21T12:49:00Z</dcterms:modified>
</cp:coreProperties>
</file>